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pageBreakBefore w:val="0"/>
        <w:numPr>
          <w:ilvl w:val="1"/>
          <w:numId w:val="20"/>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0"/>
      <w:bookmarkEnd w:id="0"/>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pageBreakBefore w:val="0"/>
        <w:numPr>
          <w:ilvl w:val="1"/>
          <w:numId w:val="20"/>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pageBreakBefore w:val="0"/>
        <w:numPr>
          <w:ilvl w:val="1"/>
          <w:numId w:val="20"/>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pageBreakBefore w:val="0"/>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pageBreakBefore w:val="0"/>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pageBreakBefore w:val="0"/>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pageBreakBefore w:val="0"/>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pageBreakBefore w:val="0"/>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pageBreakBefore w:val="0"/>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pageBreakBefore w:val="0"/>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pageBreakBefore w:val="0"/>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pageBreakBefore w:val="0"/>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pageBreakBefore w:val="0"/>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pageBreakBefore w:val="0"/>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pageBreakBefore w:val="0"/>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pageBreakBefore w:val="0"/>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pageBreakBefore w:val="0"/>
        <w:numPr>
          <w:ilvl w:val="3"/>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pageBreakBefore w:val="0"/>
        <w:numPr>
          <w:ilvl w:val="3"/>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pageBreakBefore w:val="0"/>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pageBreakBefore w:val="0"/>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pageBreakBefore w:val="0"/>
        <w:numPr>
          <w:ilvl w:val="1"/>
          <w:numId w:val="20"/>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ageBreakBefore w:val="0"/>
        <w:pBdr>
          <w:top w:space="0" w:sz="0" w:val="nil"/>
          <w:left w:space="0" w:sz="0" w:val="nil"/>
          <w:bottom w:space="0" w:sz="0" w:val="nil"/>
          <w:right w:space="0" w:sz="0" w:val="nil"/>
          <w:between w:space="0" w:sz="0" w:val="nil"/>
        </w:pBdr>
        <w:tabs>
          <w:tab w:val="left"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8010"/>
        <w:tblGridChange w:id="0">
          <w:tblGrid>
            <w:gridCol w:w="2070"/>
            <w:gridCol w:w="8010"/>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9">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A">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B">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C">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D">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2E">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2F">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0">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1">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2">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3">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5">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6">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7">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8">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9">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A">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C">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5">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6">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7">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8">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pos="-179"/>
                <w:tab w:val="left"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8E">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8F">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0">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1">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2">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3">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4">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5">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96">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7">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8">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9">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A">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pos="-179"/>
                <w:tab w:val="left" w:pos="411"/>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9C">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9D">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9E">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9F">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0">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1">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2">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B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5">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6">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7">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576"/>
                <w:tab w:val="left"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8">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D9">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bl>
      <w:tblPr>
        <w:tblStyle w:val="Table2"/>
        <w:tblW w:w="97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pos="-179"/>
              </w:tabs>
              <w:spacing w:after="120" w:line="24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pos="-179"/>
              </w:tabs>
              <w:spacing w:after="120" w:line="24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pos="-179"/>
              </w:tabs>
              <w:spacing w:after="120" w:line="24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pos="-17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Buyer</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public sector purchaser that is:</w:t>
            </w:r>
          </w:p>
          <w:p w:rsidR="00000000" w:rsidDel="00000000" w:rsidP="00000000" w:rsidRDefault="00000000" w:rsidRPr="00000000" w14:paraId="000000E9">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388"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eligible to use the Framework Contract; and</w:t>
            </w:r>
            <w:r w:rsidDel="00000000" w:rsidR="00000000" w:rsidRPr="00000000">
              <w:rPr>
                <w:rtl w:val="0"/>
              </w:rPr>
            </w:r>
          </w:p>
          <w:p w:rsidR="00000000" w:rsidDel="00000000" w:rsidP="00000000" w:rsidRDefault="00000000" w:rsidRPr="00000000" w14:paraId="000000E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388"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E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Regulations;</w:t>
            </w:r>
            <w:r w:rsidDel="00000000" w:rsidR="00000000" w:rsidRPr="00000000">
              <w:rPr>
                <w:rtl w:val="0"/>
              </w:rPr>
            </w:r>
          </w:p>
          <w:p w:rsidR="00000000" w:rsidDel="00000000" w:rsidP="00000000" w:rsidRDefault="00000000" w:rsidRPr="00000000" w14:paraId="000000E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Concession Contracts Regulations 2016 (SI 2016/273);</w:t>
            </w:r>
            <w:r w:rsidDel="00000000" w:rsidR="00000000" w:rsidRPr="00000000">
              <w:rPr>
                <w:rtl w:val="0"/>
              </w:rPr>
            </w:r>
          </w:p>
          <w:p w:rsidR="00000000" w:rsidDel="00000000" w:rsidP="00000000" w:rsidRDefault="00000000" w:rsidRPr="00000000" w14:paraId="000000E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Utilities Contracts Regulations 2016 (SI 2016/274);</w:t>
            </w:r>
            <w:r w:rsidDel="00000000" w:rsidR="00000000" w:rsidRPr="00000000">
              <w:rPr>
                <w:rtl w:val="0"/>
              </w:rPr>
            </w:r>
          </w:p>
          <w:p w:rsidR="00000000" w:rsidDel="00000000" w:rsidP="00000000" w:rsidRDefault="00000000" w:rsidRPr="00000000" w14:paraId="000000E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E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Remedies Directive (2007/66/EC);</w:t>
            </w:r>
            <w:r w:rsidDel="00000000" w:rsidR="00000000" w:rsidRPr="00000000">
              <w:rPr>
                <w:rtl w:val="0"/>
              </w:rPr>
            </w:r>
          </w:p>
          <w:p w:rsidR="00000000" w:rsidDel="00000000" w:rsidP="00000000" w:rsidRDefault="00000000" w:rsidRPr="00000000" w14:paraId="000000F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2009/81/EC of the European Parliament and Council;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Call-off Contract</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Procurement Amendments</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99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560"/>
        <w:tblGridChange w:id="0">
          <w:tblGrid>
            <w:gridCol w:w="2400"/>
            <w:gridCol w:w="7560"/>
          </w:tblGrid>
        </w:tblGridChange>
      </w:tblGrid>
      <w:tr>
        <w:trPr>
          <w:cantSplit w:val="0"/>
          <w:tblHeader w:val="0"/>
        </w:trPr>
        <w:tc>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05">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06">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07">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08">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1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25">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26">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1">
            <w:pPr>
              <w:numPr>
                <w:ilvl w:val="2"/>
                <w:numId w:val="1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2">
            <w:pPr>
              <w:numPr>
                <w:ilvl w:val="2"/>
                <w:numId w:val="1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3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rPr>
          <w:cantSplit w:val="0"/>
          <w:tblHeader w:val="0"/>
        </w:trPr>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3D">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3E">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3F">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0">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41">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5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62">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63">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64">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75">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76">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77">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7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pos="-179"/>
                <w:tab w:val="left" w:pos="175"/>
              </w:tabs>
              <w:spacing w:after="120" w:lineRule="auto"/>
              <w:ind w:left="170" w:right="189.921259842520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pos="-179"/>
                <w:tab w:val="left" w:pos="-9"/>
              </w:tabs>
              <w:spacing w:after="120" w:lineRule="auto"/>
              <w:ind w:left="170" w:right="189.921259842520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89">
            <w:pPr>
              <w:numPr>
                <w:ilvl w:val="1"/>
                <w:numId w:val="14"/>
              </w:numPr>
              <w:pBdr>
                <w:top w:space="0" w:sz="0" w:val="nil"/>
                <w:left w:space="0" w:sz="0" w:val="nil"/>
                <w:bottom w:space="0" w:sz="0" w:val="nil"/>
                <w:right w:space="0" w:sz="0" w:val="nil"/>
                <w:between w:space="0" w:sz="0" w:val="nil"/>
              </w:pBdr>
              <w:tabs>
                <w:tab w:val="left" w:pos="-576"/>
                <w:tab w:val="left" w:pos="175"/>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8A">
            <w:pPr>
              <w:numPr>
                <w:ilvl w:val="1"/>
                <w:numId w:val="14"/>
              </w:numPr>
              <w:pBdr>
                <w:top w:space="0" w:sz="0" w:val="nil"/>
                <w:left w:space="0" w:sz="0" w:val="nil"/>
                <w:bottom w:space="0" w:sz="0" w:val="nil"/>
                <w:right w:space="0" w:sz="0" w:val="nil"/>
                <w:between w:space="0" w:sz="0" w:val="nil"/>
              </w:pBdr>
              <w:tabs>
                <w:tab w:val="left" w:pos="-576"/>
                <w:tab w:val="left" w:pos="175"/>
              </w:tabs>
              <w:spacing w:after="120" w:lineRule="auto"/>
              <w:ind w:left="720" w:hanging="5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8B">
            <w:pPr>
              <w:numPr>
                <w:ilvl w:val="1"/>
                <w:numId w:val="14"/>
              </w:numPr>
              <w:pBdr>
                <w:top w:space="0" w:sz="0" w:val="nil"/>
                <w:left w:space="0" w:sz="0" w:val="nil"/>
                <w:bottom w:space="0" w:sz="0" w:val="nil"/>
                <w:right w:space="0" w:sz="0" w:val="nil"/>
                <w:between w:space="0" w:sz="0" w:val="nil"/>
              </w:pBdr>
              <w:tabs>
                <w:tab w:val="left" w:pos="-576"/>
                <w:tab w:val="left"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99">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9A">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9E">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9F">
            <w:pPr>
              <w:numPr>
                <w:ilvl w:val="2"/>
                <w:numId w:val="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0">
            <w:pPr>
              <w:numPr>
                <w:ilvl w:val="2"/>
                <w:numId w:val="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1">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A4">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A5">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A6">
            <w:pPr>
              <w:numPr>
                <w:ilvl w:val="2"/>
                <w:numId w:val="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A7">
            <w:pPr>
              <w:numPr>
                <w:ilvl w:val="2"/>
                <w:numId w:val="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A8">
            <w:pPr>
              <w:numPr>
                <w:ilvl w:val="2"/>
                <w:numId w:val="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A9">
            <w:pPr>
              <w:numPr>
                <w:ilvl w:val="2"/>
                <w:numId w:val="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AA">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AB">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AC">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AD">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AE">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AF">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B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B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B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B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B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B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B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B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B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B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D5">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D6">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D7">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D8">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D9">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DA">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DB">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DC">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DD">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E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E6">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E7">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E8">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E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EF">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1F0">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1F4">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1F5">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1F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1F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1F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1FC">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1F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1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17">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1D">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1E">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29">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2A">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2B">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2C">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2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3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35">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36">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37">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43">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44">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45">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46">
            <w:pPr>
              <w:pBdr>
                <w:top w:space="0" w:sz="0" w:val="nil"/>
                <w:left w:space="0" w:sz="0" w:val="nil"/>
                <w:bottom w:space="0" w:sz="0" w:val="nil"/>
                <w:right w:space="0" w:sz="0" w:val="nil"/>
                <w:between w:space="0" w:sz="0" w:val="nil"/>
              </w:pBdr>
              <w:tabs>
                <w:tab w:val="left" w:pos="1134"/>
              </w:tabs>
              <w:spacing w:after="120" w:before="120" w:lineRule="auto"/>
              <w:ind w:left="928"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pos="1134"/>
              </w:tabs>
              <w:spacing w:after="120" w:before="12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4E">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4F">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50">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5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5A">
            <w:pPr>
              <w:numPr>
                <w:ilvl w:val="0"/>
                <w:numId w:val="21"/>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5B">
            <w:pPr>
              <w:numPr>
                <w:ilvl w:val="0"/>
                <w:numId w:val="21"/>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5C">
            <w:pPr>
              <w:numPr>
                <w:ilvl w:val="0"/>
                <w:numId w:val="21"/>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5D">
            <w:pPr>
              <w:numPr>
                <w:ilvl w:val="0"/>
                <w:numId w:val="21"/>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65">
            <w:pPr>
              <w:numPr>
                <w:ilvl w:val="1"/>
                <w:numId w:val="7"/>
              </w:numPr>
              <w:pBdr>
                <w:top w:space="0" w:sz="0" w:val="nil"/>
                <w:left w:space="0" w:sz="0" w:val="nil"/>
                <w:bottom w:space="0" w:sz="0" w:val="nil"/>
                <w:right w:space="0" w:sz="0" w:val="nil"/>
                <w:between w:space="0" w:sz="0" w:val="nil"/>
              </w:pBdr>
              <w:tabs>
                <w:tab w:val="left" w:pos="-576"/>
                <w:tab w:val="left" w:pos="141"/>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66">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6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6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6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6D">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6E">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6F">
            <w:pPr>
              <w:keepNext w:val="1"/>
              <w:pBdr>
                <w:top w:space="0" w:sz="0" w:val="nil"/>
                <w:left w:space="0" w:sz="0" w:val="nil"/>
                <w:bottom w:space="0" w:sz="0" w:val="nil"/>
                <w:right w:space="0" w:sz="0" w:val="nil"/>
                <w:between w:space="0" w:sz="0" w:val="nil"/>
              </w:pBdr>
              <w:tabs>
                <w:tab w:val="left" w:pos="-179"/>
                <w:tab w:val="left"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70">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71">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7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86">
      <w:pPr>
        <w:pageBreakBefore w:val="0"/>
        <w:spacing w:after="0" w:line="240" w:lineRule="auto"/>
        <w:rPr>
          <w:rFonts w:ascii="Arial" w:cs="Arial" w:eastAsia="Arial" w:hAnsi="Arial"/>
          <w:sz w:val="24"/>
          <w:szCs w:val="24"/>
        </w:rPr>
      </w:pPr>
      <w:bookmarkStart w:colFirst="0" w:colLast="0" w:name="_heading=h.gjdgxs" w:id="4"/>
      <w:bookmarkEnd w:id="4"/>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B">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RM6273 Employee Benefits and Services                                           </w:t>
    </w:r>
  </w:p>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v3.10</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center" w:pos="4513"/>
        <w:tab w:val="right" w:pos="9026"/>
        <w:tab w:val="left"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644" w:hanging="358.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1">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pageBreakBefore w:val="0"/>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2/6q9uA3AJS8FI3zQmOTIEsJLA==">AMUW2mXUBkq4C0rmSOAPnd3mXWlvq1kTQwqY547/D+FtLhqBy8HAT2nhu7g7Y4WcIIfLNBn/gQF1PT9RLqoSCsodJAHQrOyvCCbghpqIWXr2KPysqonYLcmAVbRbfzHyJrBkHwNOEhHDyGAXqVQGywM0ZsMNkDwBZYCI8zfkCgXSl8Mx75OOmMozARSKqrfuKNnuBM/hcRg1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2021-02-11T15:42:00Z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